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7088"/>
        <w:gridCol w:w="3685"/>
        <w:gridCol w:w="938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331989A7" w:rsidR="006C6369" w:rsidRPr="0077406D" w:rsidRDefault="00A06425" w:rsidP="0021661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216618" w:rsidRP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WUM Data Hub - Centrum Doskonałości Danych WUM – cyfrowe udostępnienie</w:t>
            </w:r>
            <w:r w:rsid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216618" w:rsidRP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 ponowne wykorzystanie zasobów naukowych Warszawskiego Uniwersytetu Medycznego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5F4182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938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5F4182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271B3857" w:rsidR="009357E2" w:rsidRPr="0077406D" w:rsidRDefault="005F4182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Stanowisko MZ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do uwag MF.</w:t>
            </w:r>
          </w:p>
        </w:tc>
        <w:tc>
          <w:tcPr>
            <w:tcW w:w="7088" w:type="dxa"/>
            <w:shd w:val="clear" w:color="auto" w:fill="auto"/>
          </w:tcPr>
          <w:p w14:paraId="557A0B9B" w14:textId="77777777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>Ministerstwo Finansów uprzejmie informuje, iż uwagi zgłoszone na ostatnim etapie uzgodnień w ramach KdsC w zakresie przedmiotowego OZPI pozostają nadal aktualne w poniższym kształcie, bowiem nie zostały one w pełni uwzględnione.</w:t>
            </w:r>
          </w:p>
          <w:p w14:paraId="461C1F23" w14:textId="77777777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E355C9" w14:textId="7BD5DFAB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 xml:space="preserve">Należy wyraźnie wskazać, iż wyjaśnienia MZ ujęte w załączonej tabeli w poz. nr 22, 23 i 25 nie są precyzyjne. Stwierdzenia, iż określone źródła finansowania są niezależne od beneficjenta, nie są wystarczające ani nie rozstrzygają jednoznacznie wątpliwości w kwestii finansowania tego przedsięwzięcia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>z części 27 – Informatyzacja, której dysponentem jest minister właściwy do spraw informatyzacji. Kwestia ta wciąż budzi wątpliwości i nie może uzyskać akceptacji, mając na uwadze także wyjaśnienia zawarte w pkt 25, iż koszty utrzymania projektu CDD obejmują również koszty osobowe i wynoszą ok. 1,1 mln zł rocznie na rozwój oprogramowania oraz utrzymanie i aktualizację zasobów.</w:t>
            </w:r>
          </w:p>
          <w:p w14:paraId="0F5ED238" w14:textId="77777777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36BC9" w14:textId="77777777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>Należy jednoznacznie wskazać podstawę prawną umożliwiającą finansowanie z części 27 – Informatyzacja, której dysponentem jest minister właściwy do spraw informatyzacji, kosztów związanych z przedmiotowym projektem, przede wszystkim w odniesieniu do kosztów jego utrzymania. Nadal brak jest podstawy prawnej pozwalającej MC na finansowanie tego zadania, w tym kosztów utrzymania obejmujących koszty osobowe.</w:t>
            </w:r>
          </w:p>
          <w:p w14:paraId="553AD5C2" w14:textId="77777777" w:rsidR="00A01C95" w:rsidRPr="00A01C95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61FE" w14:textId="56F28D38" w:rsidR="009357E2" w:rsidRPr="007167B1" w:rsidRDefault="00A01C95" w:rsidP="00A01C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 xml:space="preserve">Dodatkowo należy wyraźnie zaznaczyć, iż koszty ogólne utrzymania projektów informatycznych — co do zasady — powinny zostać sfinansowane z krajowych środków publicznych pozostających w dyspozycji beneficjenta. Kwestia ewentualnego finansowania kosztów utrzymania ww. projektu z części 27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01C95">
              <w:rPr>
                <w:rFonts w:asciiTheme="minorHAnsi" w:hAnsiTheme="minorHAnsi" w:cstheme="minorHAnsi"/>
                <w:sz w:val="22"/>
                <w:szCs w:val="22"/>
              </w:rPr>
              <w:t>– Informatyzacja budzi zastrzeżenia.</w:t>
            </w:r>
          </w:p>
        </w:tc>
        <w:tc>
          <w:tcPr>
            <w:tcW w:w="3685" w:type="dxa"/>
            <w:shd w:val="clear" w:color="auto" w:fill="auto"/>
          </w:tcPr>
          <w:p w14:paraId="73D41DF8" w14:textId="5CCA4DC4" w:rsidR="009357E2" w:rsidRPr="007167B1" w:rsidRDefault="005F4182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Przekazanie stosownych wyjaśnień przez Wnioskodawcę i k</w:t>
            </w:r>
            <w:r w:rsidR="007D55F3">
              <w:rPr>
                <w:rFonts w:ascii="Calibri" w:hAnsi="Calibri" w:cs="Calibri"/>
                <w:sz w:val="22"/>
                <w:szCs w:val="22"/>
              </w:rPr>
              <w:t xml:space="preserve">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 w:rsidR="007D55F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7D55F3">
              <w:rPr>
                <w:rFonts w:ascii="Calibri" w:hAnsi="Calibri" w:cs="Calibri"/>
                <w:sz w:val="22"/>
                <w:szCs w:val="22"/>
              </w:rPr>
              <w:t>we wskazanym zakresie.</w:t>
            </w:r>
          </w:p>
        </w:tc>
        <w:tc>
          <w:tcPr>
            <w:tcW w:w="938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192E" w14:textId="77777777" w:rsidR="00CA69B8" w:rsidRDefault="00CA69B8" w:rsidP="00177C39">
      <w:r>
        <w:separator/>
      </w:r>
    </w:p>
  </w:endnote>
  <w:endnote w:type="continuationSeparator" w:id="0">
    <w:p w14:paraId="5D66C03B" w14:textId="77777777" w:rsidR="00CA69B8" w:rsidRDefault="00CA69B8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9D2C" w14:textId="77777777" w:rsidR="00CA69B8" w:rsidRDefault="00CA69B8" w:rsidP="00177C39">
      <w:r>
        <w:separator/>
      </w:r>
    </w:p>
  </w:footnote>
  <w:footnote w:type="continuationSeparator" w:id="0">
    <w:p w14:paraId="78AACBD2" w14:textId="77777777" w:rsidR="00CA69B8" w:rsidRDefault="00CA69B8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7DF5"/>
    <w:rsid w:val="000D3D53"/>
    <w:rsid w:val="00104B09"/>
    <w:rsid w:val="0011061D"/>
    <w:rsid w:val="00134EDA"/>
    <w:rsid w:val="00140BE8"/>
    <w:rsid w:val="00144CC8"/>
    <w:rsid w:val="001538D1"/>
    <w:rsid w:val="00156004"/>
    <w:rsid w:val="00156AB0"/>
    <w:rsid w:val="00160299"/>
    <w:rsid w:val="00177C39"/>
    <w:rsid w:val="001916D6"/>
    <w:rsid w:val="0019648E"/>
    <w:rsid w:val="001A43B7"/>
    <w:rsid w:val="001E0AA1"/>
    <w:rsid w:val="001E6CC9"/>
    <w:rsid w:val="002116EE"/>
    <w:rsid w:val="00216618"/>
    <w:rsid w:val="002434DC"/>
    <w:rsid w:val="00247D6B"/>
    <w:rsid w:val="00262D58"/>
    <w:rsid w:val="002715B2"/>
    <w:rsid w:val="00281D0C"/>
    <w:rsid w:val="002D3345"/>
    <w:rsid w:val="002F6FC7"/>
    <w:rsid w:val="0030053F"/>
    <w:rsid w:val="003124D1"/>
    <w:rsid w:val="0033458B"/>
    <w:rsid w:val="00342EAE"/>
    <w:rsid w:val="00370CB8"/>
    <w:rsid w:val="00375A04"/>
    <w:rsid w:val="00382D36"/>
    <w:rsid w:val="003B4105"/>
    <w:rsid w:val="004119F9"/>
    <w:rsid w:val="004507DD"/>
    <w:rsid w:val="004966A8"/>
    <w:rsid w:val="004A72C0"/>
    <w:rsid w:val="004B4123"/>
    <w:rsid w:val="004D086F"/>
    <w:rsid w:val="004E3B77"/>
    <w:rsid w:val="00533AE2"/>
    <w:rsid w:val="00565378"/>
    <w:rsid w:val="005741DF"/>
    <w:rsid w:val="005811BB"/>
    <w:rsid w:val="0059209A"/>
    <w:rsid w:val="005975C6"/>
    <w:rsid w:val="005C20B1"/>
    <w:rsid w:val="005C520F"/>
    <w:rsid w:val="005E2050"/>
    <w:rsid w:val="005E3BB5"/>
    <w:rsid w:val="005F4182"/>
    <w:rsid w:val="005F48BB"/>
    <w:rsid w:val="005F6527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0776D"/>
    <w:rsid w:val="00825A2F"/>
    <w:rsid w:val="0088500F"/>
    <w:rsid w:val="008A4479"/>
    <w:rsid w:val="008E6908"/>
    <w:rsid w:val="00906D07"/>
    <w:rsid w:val="009357E2"/>
    <w:rsid w:val="00944932"/>
    <w:rsid w:val="009520C3"/>
    <w:rsid w:val="00961101"/>
    <w:rsid w:val="009664EC"/>
    <w:rsid w:val="009C22E4"/>
    <w:rsid w:val="009E5FDB"/>
    <w:rsid w:val="00A01C95"/>
    <w:rsid w:val="00A06425"/>
    <w:rsid w:val="00A31A0A"/>
    <w:rsid w:val="00A43245"/>
    <w:rsid w:val="00A63767"/>
    <w:rsid w:val="00A75845"/>
    <w:rsid w:val="00AB2345"/>
    <w:rsid w:val="00AC7796"/>
    <w:rsid w:val="00AF549A"/>
    <w:rsid w:val="00B324BD"/>
    <w:rsid w:val="00B77476"/>
    <w:rsid w:val="00B871B6"/>
    <w:rsid w:val="00BB2500"/>
    <w:rsid w:val="00BD6309"/>
    <w:rsid w:val="00C3089F"/>
    <w:rsid w:val="00C445CC"/>
    <w:rsid w:val="00C46F92"/>
    <w:rsid w:val="00C64B1B"/>
    <w:rsid w:val="00CA69B8"/>
    <w:rsid w:val="00CD5EB0"/>
    <w:rsid w:val="00CE2EA1"/>
    <w:rsid w:val="00CF6FB3"/>
    <w:rsid w:val="00D26D79"/>
    <w:rsid w:val="00D63B08"/>
    <w:rsid w:val="00D940EC"/>
    <w:rsid w:val="00DB1F32"/>
    <w:rsid w:val="00DF4CB3"/>
    <w:rsid w:val="00E03A30"/>
    <w:rsid w:val="00E05E3F"/>
    <w:rsid w:val="00E14C33"/>
    <w:rsid w:val="00E340EE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2026-06-11T06:32:00Z</dcterms:created>
  <dcterms:modified xsi:type="dcterms:W3CDTF">2026-06-11T06:32:00Z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